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8"/>
        <w:rPr>
          <w:rFonts w:hint="eastAsia" w:ascii="PMingLiU" w:eastAsia="PMingLiU"/>
        </w:rPr>
      </w:pPr>
      <w:r>
        <w:rPr>
          <w:rFonts w:hint="eastAsia" w:ascii="PMingLiU" w:eastAsia="PMingLiU"/>
          <w:w w:val="105"/>
        </w:rPr>
        <w:t xml:space="preserve">附件 </w:t>
      </w:r>
    </w:p>
    <w:p>
      <w:pPr>
        <w:pStyle w:val="3"/>
        <w:spacing w:before="6"/>
        <w:rPr>
          <w:rFonts w:ascii="PMingLiU"/>
          <w:sz w:val="40"/>
        </w:rPr>
      </w:pPr>
    </w:p>
    <w:p>
      <w:pPr>
        <w:pStyle w:val="2"/>
        <w:ind w:left="920"/>
      </w:pPr>
      <w:bookmarkStart w:id="0" w:name="_GoBack"/>
      <w:r>
        <w:t>第十届“挑战杯”广西大学生课外学术科技作品竞赛作品汇总表</w:t>
      </w:r>
      <w:bookmarkEnd w:id="0"/>
    </w:p>
    <w:p>
      <w:pPr>
        <w:pStyle w:val="3"/>
        <w:spacing w:before="8"/>
        <w:rPr>
          <w:rFonts w:ascii="PMingLiU"/>
          <w:sz w:val="39"/>
        </w:rPr>
      </w:pPr>
    </w:p>
    <w:p>
      <w:pPr>
        <w:tabs>
          <w:tab w:val="left" w:pos="7408"/>
          <w:tab w:val="left" w:pos="10767"/>
        </w:tabs>
        <w:spacing w:before="0" w:after="57"/>
        <w:ind w:right="0"/>
        <w:jc w:val="left"/>
        <w:rPr>
          <w:rFonts w:hint="eastAsia" w:ascii="宋体" w:hAnsi="宋体" w:eastAsia="宋体" w:cs="宋体"/>
          <w:sz w:val="30"/>
          <w:lang w:val="en-US" w:eastAsia="zh-CN"/>
        </w:rPr>
      </w:pPr>
      <w:r>
        <w:rPr>
          <w:rFonts w:hint="eastAsia" w:ascii="宋体" w:hAnsi="宋体" w:eastAsia="宋体" w:cs="宋体"/>
          <w:spacing w:val="19"/>
          <w:sz w:val="30"/>
        </w:rPr>
        <w:t>学</w:t>
      </w:r>
      <w:r>
        <w:rPr>
          <w:rFonts w:hint="eastAsia" w:ascii="宋体" w:hAnsi="宋体" w:eastAsia="宋体" w:cs="宋体"/>
          <w:spacing w:val="20"/>
          <w:sz w:val="30"/>
        </w:rPr>
        <w:t>校名</w:t>
      </w:r>
      <w:r>
        <w:rPr>
          <w:rFonts w:hint="eastAsia" w:ascii="宋体" w:hAnsi="宋体" w:eastAsia="宋体" w:cs="宋体"/>
          <w:spacing w:val="19"/>
          <w:sz w:val="30"/>
        </w:rPr>
        <w:t>称</w:t>
      </w:r>
      <w:r>
        <w:rPr>
          <w:rFonts w:hint="eastAsia" w:ascii="宋体" w:hAnsi="宋体" w:eastAsia="宋体" w:cs="宋体"/>
          <w:spacing w:val="20"/>
          <w:sz w:val="30"/>
        </w:rPr>
        <w:t>（加</w:t>
      </w:r>
      <w:r>
        <w:rPr>
          <w:rFonts w:hint="eastAsia" w:ascii="宋体" w:hAnsi="宋体" w:eastAsia="宋体" w:cs="宋体"/>
          <w:spacing w:val="19"/>
          <w:sz w:val="30"/>
        </w:rPr>
        <w:t>盖</w:t>
      </w:r>
      <w:r>
        <w:rPr>
          <w:rFonts w:hint="eastAsia" w:ascii="宋体" w:hAnsi="宋体" w:eastAsia="宋体" w:cs="宋体"/>
          <w:spacing w:val="20"/>
          <w:sz w:val="30"/>
        </w:rPr>
        <w:t>公章</w:t>
      </w:r>
      <w:r>
        <w:rPr>
          <w:rFonts w:hint="eastAsia" w:ascii="宋体" w:hAnsi="宋体" w:eastAsia="宋体" w:cs="宋体"/>
          <w:spacing w:val="9"/>
          <w:sz w:val="30"/>
        </w:rPr>
        <w:t>）：</w:t>
      </w:r>
      <w:r>
        <w:rPr>
          <w:rFonts w:hint="eastAsia" w:ascii="宋体" w:hAnsi="宋体" w:eastAsia="宋体" w:cs="宋体"/>
          <w:spacing w:val="9"/>
          <w:sz w:val="30"/>
          <w:lang w:eastAsia="zh-CN"/>
        </w:rPr>
        <w:t>广西工商职业技术学院</w:t>
      </w:r>
      <w:r>
        <w:rPr>
          <w:rFonts w:hint="eastAsia" w:ascii="宋体" w:hAnsi="宋体" w:eastAsia="宋体" w:cs="宋体"/>
          <w:spacing w:val="9"/>
          <w:sz w:val="30"/>
        </w:rPr>
        <w:tab/>
      </w:r>
      <w:r>
        <w:rPr>
          <w:rFonts w:hint="eastAsia" w:ascii="宋体" w:hAnsi="宋体" w:eastAsia="宋体" w:cs="宋体"/>
          <w:spacing w:val="20"/>
          <w:sz w:val="30"/>
        </w:rPr>
        <w:t>填</w:t>
      </w:r>
      <w:r>
        <w:rPr>
          <w:rFonts w:hint="eastAsia" w:ascii="宋体" w:hAnsi="宋体" w:eastAsia="宋体" w:cs="宋体"/>
          <w:spacing w:val="19"/>
          <w:sz w:val="30"/>
        </w:rPr>
        <w:t>报</w:t>
      </w:r>
      <w:r>
        <w:rPr>
          <w:rFonts w:hint="eastAsia" w:ascii="宋体" w:hAnsi="宋体" w:eastAsia="宋体" w:cs="宋体"/>
          <w:spacing w:val="20"/>
          <w:sz w:val="30"/>
        </w:rPr>
        <w:t>联系</w:t>
      </w:r>
      <w:r>
        <w:rPr>
          <w:rFonts w:hint="eastAsia" w:ascii="宋体" w:hAnsi="宋体" w:eastAsia="宋体" w:cs="宋体"/>
          <w:spacing w:val="19"/>
          <w:sz w:val="30"/>
        </w:rPr>
        <w:t>人</w:t>
      </w:r>
      <w:r>
        <w:rPr>
          <w:rFonts w:hint="eastAsia" w:ascii="宋体" w:hAnsi="宋体" w:eastAsia="宋体" w:cs="宋体"/>
          <w:sz w:val="30"/>
        </w:rPr>
        <w:t>：</w:t>
      </w:r>
      <w:r>
        <w:rPr>
          <w:rFonts w:hint="eastAsia" w:ascii="宋体" w:hAnsi="宋体" w:eastAsia="宋体" w:cs="宋体"/>
          <w:sz w:val="30"/>
          <w:lang w:eastAsia="zh-CN"/>
        </w:rPr>
        <w:t>朱焰</w:t>
      </w:r>
      <w:r>
        <w:rPr>
          <w:rFonts w:hint="eastAsia" w:ascii="宋体" w:hAnsi="宋体" w:eastAsia="宋体" w:cs="宋体"/>
          <w:sz w:val="30"/>
          <w:lang w:val="en-US" w:eastAsia="zh-CN"/>
        </w:rPr>
        <w:t xml:space="preserve">  </w:t>
      </w:r>
      <w:r>
        <w:rPr>
          <w:rFonts w:hint="eastAsia" w:ascii="宋体" w:hAnsi="宋体" w:eastAsia="宋体" w:cs="宋体"/>
          <w:spacing w:val="19"/>
          <w:sz w:val="30"/>
        </w:rPr>
        <w:t>联</w:t>
      </w:r>
      <w:r>
        <w:rPr>
          <w:rFonts w:hint="eastAsia" w:ascii="宋体" w:hAnsi="宋体" w:eastAsia="宋体" w:cs="宋体"/>
          <w:spacing w:val="20"/>
          <w:sz w:val="30"/>
        </w:rPr>
        <w:t>系电</w:t>
      </w:r>
      <w:r>
        <w:rPr>
          <w:rFonts w:hint="eastAsia" w:ascii="宋体" w:hAnsi="宋体" w:eastAsia="宋体" w:cs="宋体"/>
          <w:spacing w:val="19"/>
          <w:sz w:val="30"/>
        </w:rPr>
        <w:t>话</w:t>
      </w:r>
      <w:r>
        <w:rPr>
          <w:rFonts w:hint="eastAsia" w:ascii="宋体" w:hAnsi="宋体" w:eastAsia="宋体" w:cs="宋体"/>
          <w:sz w:val="30"/>
        </w:rPr>
        <w:t>：</w:t>
      </w:r>
      <w:r>
        <w:rPr>
          <w:rFonts w:hint="eastAsia" w:ascii="宋体" w:hAnsi="宋体" w:eastAsia="宋体" w:cs="宋体"/>
          <w:sz w:val="24"/>
          <w:szCs w:val="24"/>
          <w:lang w:val="en-US" w:eastAsia="zh-CN"/>
        </w:rPr>
        <w:t>0771-6758232</w:t>
      </w:r>
    </w:p>
    <w:tbl>
      <w:tblPr>
        <w:tblStyle w:val="4"/>
        <w:tblW w:w="13958"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610"/>
        <w:gridCol w:w="1815"/>
        <w:gridCol w:w="1815"/>
        <w:gridCol w:w="1395"/>
        <w:gridCol w:w="1200"/>
        <w:gridCol w:w="2610"/>
        <w:gridCol w:w="1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80" w:type="dxa"/>
          </w:tcPr>
          <w:p>
            <w:pPr>
              <w:pStyle w:val="6"/>
              <w:spacing w:before="227" w:line="256" w:lineRule="auto"/>
              <w:ind w:left="104" w:right="95"/>
              <w:rPr>
                <w:rFonts w:hint="eastAsia" w:ascii="PMingLiU" w:eastAsia="宋体"/>
                <w:sz w:val="24"/>
                <w:lang w:eastAsia="zh-CN"/>
              </w:rPr>
            </w:pPr>
            <w:r>
              <w:rPr>
                <w:rFonts w:hint="eastAsia" w:ascii="PMingLiU" w:eastAsia="宋体"/>
                <w:sz w:val="24"/>
                <w:lang w:val="en-US" w:eastAsia="zh-CN"/>
              </w:rPr>
              <w:t>序号</w:t>
            </w:r>
          </w:p>
        </w:tc>
        <w:tc>
          <w:tcPr>
            <w:tcW w:w="2610" w:type="dxa"/>
          </w:tcPr>
          <w:p>
            <w:pPr>
              <w:pStyle w:val="6"/>
              <w:ind w:left="29" w:right="22"/>
              <w:jc w:val="center"/>
              <w:rPr>
                <w:rFonts w:hint="eastAsia" w:ascii="PMingLiU" w:eastAsia="PMingLiU"/>
                <w:sz w:val="24"/>
              </w:rPr>
            </w:pPr>
            <w:r>
              <w:rPr>
                <w:rFonts w:hint="eastAsia" w:ascii="PMingLiU" w:eastAsia="PMingLiU"/>
                <w:sz w:val="24"/>
              </w:rPr>
              <w:t>作品名称</w:t>
            </w:r>
          </w:p>
        </w:tc>
        <w:tc>
          <w:tcPr>
            <w:tcW w:w="1815" w:type="dxa"/>
          </w:tcPr>
          <w:p>
            <w:pPr>
              <w:pStyle w:val="6"/>
              <w:spacing w:before="47"/>
              <w:rPr>
                <w:rFonts w:hint="eastAsia" w:ascii="PMingLiU" w:eastAsia="PMingLiU"/>
                <w:sz w:val="24"/>
              </w:rPr>
            </w:pPr>
            <w:r>
              <w:rPr>
                <w:rFonts w:hint="eastAsia" w:ascii="PMingLiU" w:eastAsia="PMingLiU"/>
                <w:sz w:val="24"/>
              </w:rPr>
              <w:t>一级分类</w:t>
            </w:r>
          </w:p>
          <w:p>
            <w:pPr>
              <w:pStyle w:val="6"/>
              <w:spacing w:line="360" w:lineRule="atLeast"/>
              <w:ind w:right="265"/>
              <w:rPr>
                <w:rFonts w:hint="eastAsia" w:ascii="PMingLiU" w:eastAsia="PMingLiU"/>
                <w:sz w:val="24"/>
              </w:rPr>
            </w:pPr>
            <w:r>
              <w:rPr>
                <w:rFonts w:hint="eastAsia" w:ascii="PMingLiU" w:eastAsia="PMingLiU"/>
                <w:sz w:val="24"/>
              </w:rPr>
              <w:t>（作品大类）</w:t>
            </w:r>
          </w:p>
        </w:tc>
        <w:tc>
          <w:tcPr>
            <w:tcW w:w="1815" w:type="dxa"/>
          </w:tcPr>
          <w:p>
            <w:pPr>
              <w:pStyle w:val="6"/>
              <w:spacing w:before="23" w:line="360" w:lineRule="atLeast"/>
              <w:ind w:left="105" w:right="97"/>
              <w:jc w:val="both"/>
              <w:rPr>
                <w:rFonts w:hint="eastAsia" w:ascii="PMingLiU" w:eastAsia="PMingLiU"/>
                <w:sz w:val="24"/>
              </w:rPr>
            </w:pPr>
            <w:r>
              <w:rPr>
                <w:rFonts w:hint="eastAsia" w:ascii="PMingLiU" w:eastAsia="PMingLiU"/>
                <w:sz w:val="24"/>
              </w:rPr>
              <w:t>项目团队所有姓名</w:t>
            </w:r>
          </w:p>
        </w:tc>
        <w:tc>
          <w:tcPr>
            <w:tcW w:w="1395" w:type="dxa"/>
          </w:tcPr>
          <w:p>
            <w:pPr>
              <w:pStyle w:val="6"/>
              <w:spacing w:before="23" w:line="360" w:lineRule="atLeast"/>
              <w:ind w:left="104" w:right="97"/>
              <w:jc w:val="both"/>
              <w:rPr>
                <w:rFonts w:hint="eastAsia" w:ascii="PMingLiU" w:eastAsia="PMingLiU"/>
                <w:sz w:val="24"/>
              </w:rPr>
            </w:pPr>
            <w:r>
              <w:rPr>
                <w:rFonts w:hint="eastAsia" w:ascii="PMingLiU" w:eastAsia="PMingLiU"/>
                <w:sz w:val="24"/>
              </w:rPr>
              <w:t>团队最高在读学历</w:t>
            </w:r>
          </w:p>
        </w:tc>
        <w:tc>
          <w:tcPr>
            <w:tcW w:w="1200" w:type="dxa"/>
          </w:tcPr>
          <w:p>
            <w:pPr>
              <w:pStyle w:val="6"/>
              <w:spacing w:before="23" w:line="360" w:lineRule="atLeast"/>
              <w:ind w:left="104" w:right="99"/>
              <w:jc w:val="center"/>
              <w:rPr>
                <w:rFonts w:hint="eastAsia" w:ascii="PMingLiU" w:eastAsia="PMingLiU"/>
                <w:sz w:val="24"/>
              </w:rPr>
            </w:pPr>
            <w:r>
              <w:rPr>
                <w:rFonts w:hint="eastAsia" w:ascii="PMingLiU" w:eastAsia="PMingLiU"/>
                <w:sz w:val="24"/>
              </w:rPr>
              <w:t>团 队 负责人姓名</w:t>
            </w:r>
          </w:p>
        </w:tc>
        <w:tc>
          <w:tcPr>
            <w:tcW w:w="2610" w:type="dxa"/>
          </w:tcPr>
          <w:p>
            <w:pPr>
              <w:pStyle w:val="6"/>
              <w:spacing w:before="227" w:line="256" w:lineRule="auto"/>
              <w:ind w:left="103" w:right="98"/>
              <w:rPr>
                <w:rFonts w:hint="eastAsia" w:ascii="PMingLiU" w:eastAsia="PMingLiU"/>
                <w:sz w:val="24"/>
              </w:rPr>
            </w:pPr>
            <w:r>
              <w:rPr>
                <w:rFonts w:hint="eastAsia" w:ascii="PMingLiU" w:eastAsia="PMingLiU"/>
                <w:sz w:val="24"/>
              </w:rPr>
              <w:t>指导教师姓名</w:t>
            </w:r>
          </w:p>
        </w:tc>
        <w:tc>
          <w:tcPr>
            <w:tcW w:w="1733" w:type="dxa"/>
          </w:tcPr>
          <w:p>
            <w:pPr>
              <w:pStyle w:val="6"/>
              <w:spacing w:before="23" w:line="360" w:lineRule="atLeast"/>
              <w:ind w:left="96" w:right="94"/>
              <w:jc w:val="both"/>
              <w:rPr>
                <w:rFonts w:hint="eastAsia" w:ascii="PMingLiU" w:eastAsia="PMingLiU"/>
                <w:sz w:val="24"/>
              </w:rPr>
            </w:pPr>
            <w:r>
              <w:rPr>
                <w:rFonts w:hint="eastAsia" w:ascii="PMingLiU" w:eastAsia="PMingLiU"/>
                <w:sz w:val="24"/>
              </w:rPr>
              <w:t>作品文字材料查重率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80" w:type="dxa"/>
            <w:vAlign w:val="top"/>
          </w:tcPr>
          <w:p>
            <w:pPr>
              <w:bidi w:val="0"/>
              <w:ind w:left="0" w:leftChars="0" w:right="0" w:rightChars="0"/>
              <w:jc w:val="center"/>
              <w:rPr>
                <w:rFonts w:hint="eastAsia" w:ascii="PMingLiU" w:eastAsia="宋体"/>
                <w:sz w:val="24"/>
                <w:lang w:val="en-US" w:eastAsia="zh-CN"/>
              </w:rPr>
            </w:pPr>
            <w:r>
              <w:rPr>
                <w:rFonts w:hint="eastAsia" w:ascii="宋体" w:hAnsi="宋体" w:eastAsia="宋体" w:cs="宋体"/>
                <w:sz w:val="24"/>
                <w:szCs w:val="24"/>
                <w:lang w:val="en-US" w:eastAsia="zh-CN"/>
              </w:rPr>
              <w:t>1</w:t>
            </w:r>
          </w:p>
        </w:tc>
        <w:tc>
          <w:tcPr>
            <w:tcW w:w="2610" w:type="dxa"/>
            <w:vAlign w:val="center"/>
          </w:tcPr>
          <w:p>
            <w:pPr>
              <w:keepNext w:val="0"/>
              <w:keepLines w:val="0"/>
              <w:widowControl/>
              <w:suppressLineNumbers w:val="0"/>
              <w:ind w:left="0" w:leftChars="0" w:right="0" w:rightChars="0"/>
              <w:jc w:val="center"/>
              <w:textAlignment w:val="center"/>
              <w:rPr>
                <w:rFonts w:hint="eastAsia" w:ascii="PMingLiU" w:eastAsia="PMingLiU"/>
                <w:sz w:val="24"/>
              </w:rPr>
            </w:pPr>
            <w:r>
              <w:rPr>
                <w:rFonts w:hint="eastAsia" w:ascii="宋体" w:hAnsi="宋体" w:eastAsia="宋体" w:cs="宋体"/>
                <w:i w:val="0"/>
                <w:iCs w:val="0"/>
                <w:color w:val="000000"/>
                <w:kern w:val="0"/>
                <w:sz w:val="24"/>
                <w:szCs w:val="24"/>
                <w:u w:val="none"/>
                <w:lang w:val="en-US" w:eastAsia="zh-CN" w:bidi="ar"/>
              </w:rPr>
              <w:t>县区背景变迁下“沃柑经济”引领乡村振兴的调查报告—以武鸣双桥镇下渌村为例</w:t>
            </w:r>
          </w:p>
        </w:tc>
        <w:tc>
          <w:tcPr>
            <w:tcW w:w="1815" w:type="dxa"/>
            <w:vAlign w:val="center"/>
          </w:tcPr>
          <w:p>
            <w:pPr>
              <w:keepNext w:val="0"/>
              <w:keepLines w:val="0"/>
              <w:widowControl/>
              <w:suppressLineNumbers w:val="0"/>
              <w:ind w:left="0" w:leftChars="0" w:right="0" w:rightChars="0"/>
              <w:jc w:val="center"/>
              <w:textAlignment w:val="center"/>
              <w:rPr>
                <w:rFonts w:hint="eastAsia" w:ascii="PMingLiU" w:eastAsia="PMingLiU"/>
                <w:sz w:val="24"/>
              </w:rPr>
            </w:pPr>
            <w:r>
              <w:rPr>
                <w:rFonts w:hint="eastAsia" w:ascii="宋体" w:hAnsi="宋体" w:eastAsia="宋体" w:cs="宋体"/>
                <w:i w:val="0"/>
                <w:iCs w:val="0"/>
                <w:color w:val="000000"/>
                <w:kern w:val="0"/>
                <w:sz w:val="24"/>
                <w:szCs w:val="24"/>
                <w:u w:val="none"/>
                <w:lang w:val="en-US" w:eastAsia="zh-CN" w:bidi="ar"/>
              </w:rPr>
              <w:t>哲学社会科学类社会调查报告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PMingLiU" w:eastAsia="PMingLiU"/>
                <w:sz w:val="24"/>
              </w:rPr>
            </w:pPr>
            <w:r>
              <w:rPr>
                <w:rFonts w:hint="eastAsia" w:ascii="宋体" w:hAnsi="宋体" w:eastAsia="宋体" w:cs="宋体"/>
                <w:i w:val="0"/>
                <w:iCs w:val="0"/>
                <w:color w:val="000000"/>
                <w:kern w:val="0"/>
                <w:sz w:val="24"/>
                <w:szCs w:val="24"/>
                <w:u w:val="none"/>
                <w:lang w:val="en-US" w:eastAsia="zh-CN" w:bidi="ar"/>
              </w:rPr>
              <w:t>梁海贵、黄惠灵、蒙利镠、封蕙敏、陶丽雯</w:t>
            </w:r>
          </w:p>
        </w:tc>
        <w:tc>
          <w:tcPr>
            <w:tcW w:w="1395" w:type="dxa"/>
            <w:vAlign w:val="center"/>
          </w:tcPr>
          <w:p>
            <w:pPr>
              <w:keepNext w:val="0"/>
              <w:keepLines w:val="0"/>
              <w:widowControl/>
              <w:suppressLineNumbers w:val="0"/>
              <w:ind w:left="0" w:leftChars="0" w:right="0" w:rightChars="0"/>
              <w:jc w:val="center"/>
              <w:textAlignment w:val="center"/>
              <w:rPr>
                <w:rFonts w:hint="eastAsia" w:ascii="PMingLiU" w:eastAsia="PMingLiU"/>
                <w:sz w:val="24"/>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PMingLiU" w:eastAsia="PMingLiU"/>
                <w:sz w:val="24"/>
              </w:rPr>
            </w:pPr>
            <w:r>
              <w:rPr>
                <w:rFonts w:hint="eastAsia" w:ascii="宋体" w:hAnsi="宋体" w:eastAsia="宋体" w:cs="宋体"/>
                <w:i w:val="0"/>
                <w:iCs w:val="0"/>
                <w:color w:val="000000"/>
                <w:kern w:val="0"/>
                <w:sz w:val="24"/>
                <w:szCs w:val="24"/>
                <w:u w:val="none"/>
                <w:lang w:val="en-US" w:eastAsia="zh-CN" w:bidi="ar"/>
              </w:rPr>
              <w:t>梁海贵</w:t>
            </w:r>
          </w:p>
        </w:tc>
        <w:tc>
          <w:tcPr>
            <w:tcW w:w="2610" w:type="dxa"/>
            <w:vAlign w:val="center"/>
          </w:tcPr>
          <w:p>
            <w:pPr>
              <w:keepNext w:val="0"/>
              <w:keepLines w:val="0"/>
              <w:widowControl/>
              <w:suppressLineNumbers w:val="0"/>
              <w:ind w:left="0" w:leftChars="0" w:right="0" w:rightChars="0"/>
              <w:jc w:val="center"/>
              <w:textAlignment w:val="center"/>
              <w:rPr>
                <w:rFonts w:hint="eastAsia" w:ascii="PMingLiU" w:eastAsia="PMingLiU"/>
                <w:sz w:val="24"/>
              </w:rPr>
            </w:pPr>
            <w:r>
              <w:rPr>
                <w:rFonts w:hint="eastAsia" w:ascii="宋体" w:hAnsi="宋体" w:eastAsia="宋体" w:cs="宋体"/>
                <w:i w:val="0"/>
                <w:iCs w:val="0"/>
                <w:color w:val="000000"/>
                <w:kern w:val="0"/>
                <w:sz w:val="24"/>
                <w:szCs w:val="24"/>
                <w:u w:val="none"/>
                <w:lang w:val="en-US" w:eastAsia="zh-CN" w:bidi="ar"/>
              </w:rPr>
              <w:t>雷英、周红湘</w:t>
            </w:r>
          </w:p>
        </w:tc>
        <w:tc>
          <w:tcPr>
            <w:tcW w:w="1733" w:type="dxa"/>
            <w:vAlign w:val="center"/>
          </w:tcPr>
          <w:p>
            <w:pPr>
              <w:keepNext w:val="0"/>
              <w:keepLines w:val="0"/>
              <w:widowControl/>
              <w:suppressLineNumbers w:val="0"/>
              <w:ind w:left="0" w:leftChars="0" w:right="0" w:rightChars="0"/>
              <w:jc w:val="center"/>
              <w:textAlignment w:val="center"/>
              <w:rPr>
                <w:rFonts w:hint="eastAsia" w:ascii="PMingLiU" w:eastAsia="PMingLiU"/>
                <w:sz w:val="24"/>
              </w:rPr>
            </w:pPr>
            <w:r>
              <w:rPr>
                <w:rFonts w:hint="eastAsia" w:ascii="宋体" w:hAnsi="宋体" w:eastAsia="宋体" w:cs="宋体"/>
                <w:i w:val="0"/>
                <w:iCs w:val="0"/>
                <w:color w:val="000000"/>
                <w:kern w:val="0"/>
                <w:sz w:val="24"/>
                <w:szCs w:val="24"/>
                <w:u w:val="none"/>
                <w:lang w:val="en-US" w:eastAsia="zh-CN" w:bidi="ar"/>
              </w:rPr>
              <w:t>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80" w:type="dxa"/>
          </w:tcPr>
          <w:p>
            <w:pPr>
              <w:pStyle w:val="6"/>
              <w:ind w:left="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国家文化认同视阈下骆越文化走进高校校园的可行性研究—基于广西高校00后大学生的调查</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哲学社会科学类社会调查报告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李玉波、吴常裕、王江妹、伍仲慈、赵彬、刘娟、李琴</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李玉波</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冯艳琼、吕璇、郭焱</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80" w:type="dxa"/>
            <w:vAlign w:val="top"/>
          </w:tcPr>
          <w:p>
            <w:pPr>
              <w:pStyle w:val="6"/>
              <w:ind w:left="6"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广西壮族特色节日蚂柺节现状调研报告—以广西天峨县为例</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哲学社会科学类调查报告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叶莹莹、韦春华、刘书雄</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叶莹莹</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赵婷</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80" w:type="dxa"/>
          </w:tcPr>
          <w:p>
            <w:pPr>
              <w:bidi w:val="0"/>
              <w:ind w:firstLine="376"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 xml:space="preserve">砂糖橘产业助推可持续脱贫和乡村振兴的问题与对策—基于广西县域农村种植基地的调查  </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哲学社会科学类社会调查报告和学术论文</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 xml:space="preserve">胡志颖、莫慧慧、刘燕、张一凡、张 婷婷、周双月、李治华 </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胡志颖</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罗素贞、刘结玲、高洁</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12.16%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80" w:type="dxa"/>
            <w:vAlign w:val="top"/>
          </w:tcPr>
          <w:p>
            <w:pPr>
              <w:bidi w:val="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服务基层，振兴乡村—乡村振兴战略驱动下广西民族地区大学生返乡就业创业的调查报告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哲学社会科学类社会调查报告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蓝满奇、杨栋楠、赖建朋、王明华、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徐红志、覃艺涵、甘宏霞 </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蓝满奇</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刘结玲、罗素贞、柳丽</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80" w:type="dxa"/>
            <w:vAlign w:val="top"/>
          </w:tcPr>
          <w:p>
            <w:pPr>
              <w:bidi w:val="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让教育留下记忆，让旅行收获感动：邕江研学旅行与文旅资源创新融合研究的调查报告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哲学社会科学类社会调查报告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彭小龙、黄宏兰、陈慧雯、周盼、杨栋楠、许丽娜、廖家慧</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彭小龙</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吕璇、冯艳琼</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0" w:type="dxa"/>
          </w:tcPr>
          <w:p>
            <w:pPr>
              <w:bidi w:val="0"/>
              <w:ind w:firstLine="401"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乡村振兴背景下剑麻种植项目配套农业公司肉鸡协议养殖的农业产业模式调研报告—以广西玉林市陆川县为例</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哲学社会科学类社会调查报告和学术论文</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卢琦、梁庭宾、周锋源</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卢琦</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谭爵玺、舒江云、高洁</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11.54%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0" w:type="dxa"/>
            <w:vAlign w:val="top"/>
          </w:tcPr>
          <w:p>
            <w:pPr>
              <w:bidi w:val="0"/>
              <w:ind w:left="0" w:leftChars="0" w:right="0" w:rightChars="0" w:firstLine="251"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新型冠状肺炎疫情的网络舆情风险评估及对策研究</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哲学社会科学类社会调查报告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李南然、莫嘉琪、陆桂阳、王善先、薛麒麟</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李南然</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甘玲云、李耀翠</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0" w:type="dxa"/>
            <w:vAlign w:val="top"/>
          </w:tcPr>
          <w:p>
            <w:pPr>
              <w:bidi w:val="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关于乡村振兴背景下美丽乡村建设的调查报告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-以南宁市美丽南方忠良村为具体调查对象</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哲学社会科学类社会调查报告和学术论文</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王前程、李莹、吕广林、曾柳洁、袁榕灿</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王前程</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柳丽、郭曼、刘结玲</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0" w:type="dxa"/>
            <w:vAlign w:val="top"/>
          </w:tcPr>
          <w:p>
            <w:pPr>
              <w:bidi w:val="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Style w:val="7"/>
                <w:rFonts w:hint="eastAsia" w:ascii="宋体" w:hAnsi="宋体" w:eastAsia="宋体" w:cs="宋体"/>
                <w:sz w:val="24"/>
                <w:szCs w:val="24"/>
                <w:lang w:val="en-US" w:eastAsia="zh-CN" w:bidi="ar"/>
              </w:rPr>
              <w:t>关于农村直播现象的调查研究</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哲学社会科学类学术论文</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莫倩影、黄碧谊、文有倩、黄慧玲</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莫倩影</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黄艳</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0" w:type="dxa"/>
            <w:vAlign w:val="top"/>
          </w:tcPr>
          <w:p>
            <w:pPr>
              <w:bidi w:val="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10" w:type="dxa"/>
            <w:vAlign w:val="center"/>
          </w:tcPr>
          <w:p>
            <w:pPr>
              <w:keepNext w:val="0"/>
              <w:keepLines w:val="0"/>
              <w:widowControl/>
              <w:suppressLineNumbers w:val="0"/>
              <w:ind w:left="0" w:leftChars="0" w:right="0" w:rightChars="0"/>
              <w:jc w:val="center"/>
              <w:textAlignment w:val="center"/>
              <w:rPr>
                <w:rStyle w:val="7"/>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绽放生命本色，摆脱手机依赖—00后高职生生命意义感对手机依赖的影响:主观幸福感的中介作用</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哲学社会科学类学术论文</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林彬妮、刘金凤、吴贞娴、卢克媚</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林彬妮</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郭焱、冯艳琼</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80" w:type="dxa"/>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乡村振兴战略背景下广西百色芒果产业发展对策研究</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哲学社会科学类学术论文</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韦佩伶、卢锦东、陆妍文、吴锡冰、陈子超、庞莹莹</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韦佩伶</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张淑贞、刘世业、蔡欢欢</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11.80%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80" w:type="dxa"/>
          </w:tcPr>
          <w:p>
            <w:pPr>
              <w:bidi w:val="0"/>
              <w:ind w:firstLine="276"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激活红色文化，助推乡村振兴调查报告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哲学社会科学类社会调查报告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赵莲、黎鸯晓、冯珍珍、廖田玉、周景鹏</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赵莲</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包小群、唐敏</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80" w:type="dxa"/>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论校园文化，社团文化调查报告</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哲学社会科学类调查报告和学术论文</w:t>
            </w:r>
          </w:p>
        </w:tc>
        <w:tc>
          <w:tcPr>
            <w:tcW w:w="181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韦杰荣、韦润雪</w:t>
            </w:r>
          </w:p>
        </w:tc>
        <w:tc>
          <w:tcPr>
            <w:tcW w:w="13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大专</w:t>
            </w:r>
          </w:p>
        </w:tc>
        <w:tc>
          <w:tcPr>
            <w:tcW w:w="120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韦杰荣</w:t>
            </w:r>
          </w:p>
        </w:tc>
        <w:tc>
          <w:tcPr>
            <w:tcW w:w="261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谢旨君</w:t>
            </w:r>
          </w:p>
        </w:tc>
        <w:tc>
          <w:tcPr>
            <w:tcW w:w="173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lang w:val="zh-CN" w:eastAsia="zh-CN" w:bidi="zh-CN"/>
              </w:rPr>
            </w:pPr>
            <w:r>
              <w:rPr>
                <w:rFonts w:hint="eastAsia" w:ascii="宋体" w:hAnsi="宋体" w:eastAsia="宋体" w:cs="宋体"/>
                <w:i w:val="0"/>
                <w:iCs w:val="0"/>
                <w:color w:val="000000"/>
                <w:kern w:val="0"/>
                <w:sz w:val="24"/>
                <w:szCs w:val="24"/>
                <w:u w:val="none"/>
                <w:lang w:val="en-US" w:eastAsia="zh-CN" w:bidi="ar"/>
              </w:rPr>
              <w:t>6.56%</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D0A7A"/>
    <w:rsid w:val="25AD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简体" w:hAnsi="方正仿宋简体" w:eastAsia="方正仿宋简体" w:cs="方正仿宋简体"/>
      <w:sz w:val="22"/>
      <w:szCs w:val="22"/>
      <w:lang w:val="zh-CN" w:eastAsia="zh-CN" w:bidi="zh-CN"/>
    </w:rPr>
  </w:style>
  <w:style w:type="paragraph" w:styleId="2">
    <w:name w:val="heading 1"/>
    <w:basedOn w:val="1"/>
    <w:next w:val="1"/>
    <w:qFormat/>
    <w:uiPriority w:val="1"/>
    <w:pPr>
      <w:outlineLvl w:val="1"/>
    </w:pPr>
    <w:rPr>
      <w:rFonts w:ascii="PMingLiU" w:hAnsi="PMingLiU" w:eastAsia="PMingLiU" w:cs="PMingLiU"/>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方正仿宋简体" w:hAnsi="方正仿宋简体" w:eastAsia="方正仿宋简体" w:cs="方正仿宋简体"/>
      <w:sz w:val="32"/>
      <w:szCs w:val="32"/>
      <w:lang w:val="zh-CN" w:eastAsia="zh-CN" w:bidi="zh-CN"/>
    </w:rPr>
  </w:style>
  <w:style w:type="paragraph" w:customStyle="1" w:styleId="6">
    <w:name w:val="Table Paragraph"/>
    <w:basedOn w:val="1"/>
    <w:qFormat/>
    <w:uiPriority w:val="1"/>
    <w:rPr>
      <w:rFonts w:ascii="方正仿宋简体" w:hAnsi="方正仿宋简体" w:eastAsia="方正仿宋简体" w:cs="方正仿宋简体"/>
      <w:lang w:val="zh-CN" w:eastAsia="zh-CN" w:bidi="zh-CN"/>
    </w:rPr>
  </w:style>
  <w:style w:type="character" w:customStyle="1" w:styleId="7">
    <w:name w:val="font7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2021-04-23T12:09:00Z</dcterms:created>
  <dc:creator>用户5225990320</dc:creator>
  <cp:lastModifiedBy>用户5225990320</cp:lastModifiedBy>
  <dcterms:modified xsi:type="dcterms:W3CDTF">2021-04-23T12:14:01Z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81FA8AE4B11A4547813F6B47203C64E9</vt:lpwstr>
  </property>
</Properties>
</file>